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spacing w:lineRule="auto" w:line="240"/>
        <w:ind w:left="-719" w:firstLine="0" w:right="-719"/>
        <w:contextualSpacing w:val="0"/>
        <w:jc w:val="center"/>
      </w:pPr>
      <w:r w:rsidRPr="00000000" w:rsidR="00000000" w:rsidDel="00000000">
        <w:rPr>
          <w:b w:val="1"/>
          <w:rtl w:val="0"/>
        </w:rPr>
        <w:t xml:space="preserve">Gastroesophageal Reflux Disease</w:t>
      </w:r>
      <w:r w:rsidRPr="00000000" w:rsidR="00000000" w:rsidDel="00000000">
        <w:rPr>
          <w:rtl w:val="0"/>
        </w:rPr>
        <w:t xml:space="preserve"> </w:t>
      </w:r>
      <w:r w:rsidRPr="00000000" w:rsidR="00000000" w:rsidDel="00000000">
        <w:rPr>
          <w:i w:val="1"/>
          <w:rtl w:val="0"/>
        </w:rPr>
        <w:t xml:space="preserve">(as of 12/2014. Expect changes in coming years!)</w:t>
      </w:r>
    </w:p>
    <w:p w:rsidP="00000000" w:rsidRPr="00000000" w:rsidR="00000000" w:rsidDel="00000000" w:rsidRDefault="00000000">
      <w:pPr>
        <w:ind w:left="-719" w:firstLine="0" w:right="-719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-719" w:firstLine="0" w:right="-719"/>
        <w:contextualSpacing w:val="0"/>
      </w:pPr>
      <w:r w:rsidRPr="00000000" w:rsidR="00000000" w:rsidDel="00000000">
        <w:rPr>
          <w:b w:val="1"/>
          <w:rtl w:val="0"/>
        </w:rPr>
        <w:t xml:space="preserve">Symptoms</w:t>
      </w:r>
      <w:r w:rsidRPr="00000000" w:rsidR="00000000" w:rsidDel="00000000">
        <w:rPr>
          <w:rtl w:val="0"/>
        </w:rPr>
        <w:t xml:space="preserve">: Initial diagnosis is made by symptoms alone. Heartburn (pyrosis) / chest pain, regurgitation, water brash (hypersalivation), unexplained nausea. </w:t>
      </w:r>
      <w:r w:rsidRPr="00000000" w:rsidR="00000000" w:rsidDel="00000000">
        <w:rPr>
          <w:i w:val="1"/>
          <w:rtl w:val="0"/>
        </w:rPr>
        <w:t xml:space="preserve">Can eventually lead to dysphagia or odynophagia, but those are more likely to indicate GERD with progression to a stricture or an ulcer, or a non-GERD diagnosis</w:t>
      </w:r>
      <w:r w:rsidRPr="00000000" w:rsidR="00000000" w:rsidDel="00000000">
        <w:rPr>
          <w:rtl w:val="0"/>
        </w:rPr>
        <w:t xml:space="preserve">.</w:t>
      </w:r>
    </w:p>
    <w:p w:rsidP="00000000" w:rsidRPr="00000000" w:rsidR="00000000" w:rsidDel="00000000" w:rsidRDefault="00000000">
      <w:pPr>
        <w:ind w:left="-719" w:firstLine="0" w:right="-719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-719" w:firstLine="0" w:right="-719"/>
        <w:contextualSpacing w:val="0"/>
      </w:pPr>
      <w:r w:rsidRPr="00000000" w:rsidR="00000000" w:rsidDel="00000000">
        <w:rPr>
          <w:b w:val="1"/>
          <w:rtl w:val="0"/>
        </w:rPr>
        <w:t xml:space="preserve">Differential:</w:t>
      </w:r>
      <w:r w:rsidRPr="00000000" w:rsidR="00000000" w:rsidDel="00000000">
        <w:rPr>
          <w:rtl w:val="0"/>
        </w:rPr>
        <w:t xml:space="preserve"> Infectious esophagitis, pill esophagitis, eosinophilic esophagitis, PUD, dyspepsia, cholelithiasis, CAD, esophageal motor disorders, achalasia, gastroparesis, esophageal stricture, cancer</w:t>
      </w:r>
    </w:p>
    <w:p w:rsidP="00000000" w:rsidRPr="00000000" w:rsidR="00000000" w:rsidDel="00000000" w:rsidRDefault="00000000">
      <w:pPr>
        <w:ind w:left="-719" w:firstLine="0" w:right="-719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-719" w:firstLine="0" w:right="-719"/>
        <w:contextualSpacing w:val="0"/>
      </w:pPr>
      <w:r w:rsidRPr="00000000" w:rsidR="00000000" w:rsidDel="00000000">
        <w:rPr>
          <w:b w:val="1"/>
          <w:rtl w:val="0"/>
        </w:rPr>
        <w:t xml:space="preserve">GERD definition:</w:t>
      </w:r>
      <w:r w:rsidRPr="00000000" w:rsidR="00000000" w:rsidDel="00000000">
        <w:rPr>
          <w:rtl w:val="0"/>
        </w:rPr>
        <w:t xml:space="preserve"> when reflux of stomach contents causes troublesome symptoms (mild symptoms 2+ days/week, or moderate to severe symptoms more than once/week) and/or when reflux causes complications (esophagitis); </w:t>
      </w:r>
      <w:r w:rsidRPr="00000000" w:rsidR="00000000" w:rsidDel="00000000">
        <w:rPr>
          <w:i w:val="1"/>
          <w:u w:val="single"/>
          <w:rtl w:val="0"/>
        </w:rPr>
        <w:t xml:space="preserve">severity and duration of symptoms do not correlate with severity of esophagitis</w:t>
      </w:r>
    </w:p>
    <w:p w:rsidP="00000000" w:rsidRPr="00000000" w:rsidR="00000000" w:rsidDel="00000000" w:rsidRDefault="00000000">
      <w:pPr>
        <w:ind w:left="-719" w:firstLine="0" w:right="-719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-719" w:firstLine="0" w:right="-719"/>
        <w:contextualSpacing w:val="0"/>
      </w:pPr>
      <w:r w:rsidRPr="00000000" w:rsidR="00000000" w:rsidDel="00000000">
        <w:rPr>
          <w:b w:val="1"/>
          <w:rtl w:val="0"/>
        </w:rPr>
        <w:t xml:space="preserve">Treatment</w:t>
      </w:r>
      <w:r w:rsidRPr="00000000" w:rsidR="00000000" w:rsidDel="00000000">
        <w:rPr>
          <w:rtl w:val="0"/>
        </w:rPr>
        <w:t xml:space="preserve">: </w:t>
      </w:r>
    </w:p>
    <w:p w:rsidP="00000000" w:rsidRPr="00000000" w:rsidR="00000000" w:rsidDel="00000000" w:rsidRDefault="00000000">
      <w:pPr>
        <w:ind w:left="-719" w:firstLine="0" w:right="-719"/>
        <w:contextualSpacing w:val="0"/>
      </w:pPr>
      <w:r w:rsidRPr="00000000" w:rsidR="00000000" w:rsidDel="00000000">
        <w:rPr>
          <w:rtl w:val="0"/>
        </w:rPr>
        <w:t xml:space="preserve">“Step up” approach for mild/intermittent symptoms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0" w:right="-719" w:hanging="26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Start with lifestyle changes (</w:t>
      </w:r>
      <w:r w:rsidRPr="00000000" w:rsidR="00000000" w:rsidDel="00000000">
        <w:rPr>
          <w:b w:val="1"/>
          <w:rtl w:val="0"/>
        </w:rPr>
        <w:t xml:space="preserve">weight loss/belly loss, head of bed elevation, tobacco and alcohol cessation, avoidance of late-night meals</w:t>
      </w:r>
      <w:r w:rsidRPr="00000000" w:rsidR="00000000" w:rsidDel="00000000">
        <w:rPr>
          <w:rtl w:val="0"/>
        </w:rPr>
        <w:t xml:space="preserve">; no need to stop eating certain foods unless the patient notices a specific correlation with symptoms), antacids (once/week or less), H2 blockers (but tachyphylaxis occurs in 2-6 weeks)</w:t>
      </w:r>
    </w:p>
    <w:p w:rsidP="00000000" w:rsidRPr="00000000" w:rsidR="00000000" w:rsidDel="00000000" w:rsidRDefault="00000000">
      <w:pPr>
        <w:ind w:left="-719" w:firstLine="0" w:right="-719"/>
        <w:contextualSpacing w:val="0"/>
      </w:pPr>
      <w:r w:rsidRPr="00000000" w:rsidR="00000000" w:rsidDel="00000000">
        <w:rPr>
          <w:rtl w:val="0"/>
        </w:rPr>
        <w:t xml:space="preserve">“Step down” approach (recommended by American College of Gastroenterology)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0" w:right="-719" w:hanging="359"/>
        <w:contextualSpacing w:val="1"/>
        <w:rPr>
          <w:u w:val="none"/>
        </w:rPr>
      </w:pPr>
      <w:r w:rsidRPr="00000000" w:rsidR="00000000" w:rsidDel="00000000">
        <w:rPr>
          <w:b w:val="1"/>
          <w:rtl w:val="0"/>
        </w:rPr>
        <w:t xml:space="preserve">8 week course of any PPI</w:t>
      </w:r>
      <w:r w:rsidRPr="00000000" w:rsidR="00000000" w:rsidDel="00000000">
        <w:rPr>
          <w:rtl w:val="0"/>
        </w:rPr>
        <w:t xml:space="preserve"> (to relieve symptoms and </w:t>
      </w:r>
      <w:r w:rsidRPr="00000000" w:rsidR="00000000" w:rsidDel="00000000">
        <w:rPr>
          <w:u w:val="single"/>
          <w:rtl w:val="0"/>
        </w:rPr>
        <w:t xml:space="preserve">allow healing of erosive esophagitis</w:t>
      </w:r>
      <w:r w:rsidRPr="00000000" w:rsidR="00000000" w:rsidDel="00000000">
        <w:rPr>
          <w:rtl w:val="0"/>
        </w:rPr>
        <w:t xml:space="preserve">), coupled with lifestyle changes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0" w:right="-719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Dose once daily, 30-60 mins before the first meal of the day. If only partial response, or persistent nighttime awakening, try nighttime dosing or twice a day, or try changing to a different PPI.  </w:t>
      </w:r>
      <w:r w:rsidRPr="00000000" w:rsidR="00000000" w:rsidDel="00000000">
        <w:rPr>
          <w:b w:val="1"/>
          <w:i w:val="1"/>
          <w:rtl w:val="0"/>
        </w:rPr>
        <w:t xml:space="preserve">If no response to PPI</w:t>
      </w:r>
      <w:r w:rsidRPr="00000000" w:rsidR="00000000" w:rsidDel="00000000">
        <w:rPr>
          <w:i w:val="1"/>
          <w:rtl w:val="0"/>
        </w:rPr>
        <w:t xml:space="preserve">, consider it “refractory GERD” and </w:t>
      </w:r>
      <w:r w:rsidRPr="00000000" w:rsidR="00000000" w:rsidDel="00000000">
        <w:rPr>
          <w:b w:val="1"/>
          <w:i w:val="1"/>
          <w:rtl w:val="0"/>
        </w:rPr>
        <w:t xml:space="preserve">refer or work-up</w:t>
      </w:r>
      <w:r w:rsidRPr="00000000" w:rsidR="00000000" w:rsidDel="00000000">
        <w:rPr>
          <w:i w:val="1"/>
          <w:rtl w:val="0"/>
        </w:rPr>
        <w:t xml:space="preserve">.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0" w:right="-719" w:hanging="359"/>
        <w:contextualSpacing w:val="1"/>
        <w:rPr>
          <w:u w:val="none"/>
        </w:rPr>
      </w:pPr>
      <w:r w:rsidRPr="00000000" w:rsidR="00000000" w:rsidDel="00000000">
        <w:rPr>
          <w:b w:val="1"/>
          <w:rtl w:val="0"/>
        </w:rPr>
        <w:t xml:space="preserve">Then, try to taper PPI</w:t>
      </w:r>
      <w:r w:rsidRPr="00000000" w:rsidR="00000000" w:rsidDel="00000000">
        <w:rPr>
          <w:rtl w:val="0"/>
        </w:rPr>
        <w:t xml:space="preserve">. If patients have persistent/recurrent symptoms after PPI taper, keep them on a PPI, add an H2 antagonist, or switch from the PPI to an H2 antagonist. If kept on a PPI, use the lowest effective dose and consider intermittent/PRN use. </w:t>
      </w:r>
      <w:r w:rsidRPr="00000000" w:rsidR="00000000" w:rsidDel="00000000">
        <w:rPr>
          <w:b w:val="1"/>
          <w:i w:val="1"/>
          <w:rtl w:val="0"/>
        </w:rPr>
        <w:t xml:space="preserve">No need to work-up.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0" w:right="-719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With known erosive esophagitis or Barrett’s esophagus, keep them on a PPI (lowest effective dose).</w:t>
      </w:r>
    </w:p>
    <w:p w:rsidP="00000000" w:rsidRPr="00000000" w:rsidR="00000000" w:rsidDel="00000000" w:rsidRDefault="00000000">
      <w:pPr>
        <w:ind w:left="-719" w:firstLine="0" w:right="-719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-719" w:firstLine="0" w:right="-719"/>
        <w:contextualSpacing w:val="0"/>
      </w:pPr>
      <w:r w:rsidRPr="00000000" w:rsidR="00000000" w:rsidDel="00000000">
        <w:rPr>
          <w:b w:val="1"/>
          <w:rtl w:val="0"/>
        </w:rPr>
        <w:t xml:space="preserve">Additional testing</w:t>
      </w:r>
      <w:r w:rsidRPr="00000000" w:rsidR="00000000" w:rsidDel="00000000">
        <w:rPr>
          <w:rtl w:val="0"/>
        </w:rPr>
        <w:t xml:space="preserve">:</w:t>
      </w:r>
    </w:p>
    <w:p w:rsidP="00000000" w:rsidRPr="00000000" w:rsidR="00000000" w:rsidDel="00000000" w:rsidRDefault="00000000">
      <w:pPr>
        <w:ind w:left="-719" w:firstLine="0" w:right="-719"/>
        <w:contextualSpacing w:val="0"/>
      </w:pPr>
      <w:r w:rsidRPr="00000000" w:rsidR="00000000" w:rsidDel="00000000">
        <w:rPr>
          <w:u w:val="single"/>
          <w:rtl w:val="0"/>
        </w:rPr>
        <w:t xml:space="preserve">Endoscopy</w:t>
      </w:r>
      <w:r w:rsidRPr="00000000" w:rsidR="00000000" w:rsidDel="00000000">
        <w:rPr>
          <w:rtl w:val="0"/>
        </w:rPr>
        <w:t xml:space="preserve"> - For </w:t>
      </w:r>
      <w:r w:rsidRPr="00000000" w:rsidR="00000000" w:rsidDel="00000000">
        <w:rPr>
          <w:i w:val="1"/>
          <w:u w:val="single"/>
          <w:rtl w:val="0"/>
        </w:rPr>
        <w:t xml:space="preserve">alarm symptoms</w:t>
      </w:r>
      <w:r w:rsidRPr="00000000" w:rsidR="00000000" w:rsidDel="00000000">
        <w:rPr>
          <w:rtl w:val="0"/>
        </w:rPr>
        <w:t xml:space="preserve"> (</w:t>
      </w:r>
      <w:r w:rsidRPr="00000000" w:rsidR="00000000" w:rsidDel="00000000">
        <w:rPr>
          <w:rtl w:val="0"/>
        </w:rPr>
        <w:t xml:space="preserve">dysphagia</w:t>
      </w:r>
      <w:r w:rsidRPr="00000000" w:rsidR="00000000" w:rsidDel="00000000">
        <w:rPr>
          <w:rtl w:val="0"/>
        </w:rPr>
        <w:t xml:space="preserve">, odynophagia, GI bleed, anemia, weight loss, recurrent vomiting). For those who </w:t>
      </w:r>
      <w:r w:rsidRPr="00000000" w:rsidR="00000000" w:rsidDel="00000000">
        <w:rPr>
          <w:i w:val="1"/>
          <w:u w:val="single"/>
          <w:rtl w:val="0"/>
        </w:rPr>
        <w:t xml:space="preserve">do not respond</w:t>
      </w:r>
      <w:r w:rsidRPr="00000000" w:rsidR="00000000" w:rsidDel="00000000">
        <w:rPr>
          <w:rtl w:val="0"/>
        </w:rPr>
        <w:t xml:space="preserve"> to twice-daily PPI. Also consider in </w:t>
      </w:r>
      <w:r w:rsidRPr="00000000" w:rsidR="00000000" w:rsidDel="00000000">
        <w:rPr>
          <w:i w:val="1"/>
          <w:u w:val="single"/>
          <w:rtl w:val="0"/>
        </w:rPr>
        <w:t xml:space="preserve">men &gt;50 with GERD x 5+ years</w:t>
      </w:r>
      <w:r w:rsidRPr="00000000" w:rsidR="00000000" w:rsidDel="00000000">
        <w:rPr>
          <w:rtl w:val="0"/>
        </w:rPr>
        <w:t xml:space="preserve"> and Barrett’s risk factors (nocturnal reflux, hiatal hernia, elevated BMI with central obesity, tobacco).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-719" w:firstLine="0" w:right="-719"/>
        <w:contextualSpacing w:val="0"/>
      </w:pPr>
      <w:r w:rsidRPr="00000000" w:rsidR="00000000" w:rsidDel="00000000">
        <w:rPr>
          <w:u w:val="single"/>
          <w:rtl w:val="0"/>
        </w:rPr>
        <w:t xml:space="preserve">Ambulatory pH monitoring</w:t>
      </w:r>
      <w:r w:rsidRPr="00000000" w:rsidR="00000000" w:rsidDel="00000000">
        <w:rPr>
          <w:rtl w:val="0"/>
        </w:rPr>
        <w:t xml:space="preserve"> - to confirm diagnosis if endoscopy shows nothing, but PPI has failed </w:t>
      </w:r>
      <w:r w:rsidRPr="00000000" w:rsidR="00000000" w:rsidDel="00000000">
        <w:rPr>
          <w:i w:val="1"/>
          <w:rtl w:val="0"/>
        </w:rPr>
        <w:t xml:space="preserve">(negative endoscopy doesn’t rule-out GERD, they may have “NERD” - non-erosive reflux esophagitis)</w:t>
      </w:r>
    </w:p>
    <w:p w:rsidP="00000000" w:rsidRPr="00000000" w:rsidR="00000000" w:rsidDel="00000000" w:rsidRDefault="00000000">
      <w:pPr>
        <w:ind w:left="-719" w:firstLine="0" w:right="-719"/>
        <w:contextualSpacing w:val="0"/>
      </w:pPr>
      <w:r w:rsidRPr="00000000" w:rsidR="00000000" w:rsidDel="00000000">
        <w:rPr>
          <w:u w:val="single"/>
          <w:rtl w:val="0"/>
        </w:rPr>
        <w:t xml:space="preserve">Manometry</w:t>
      </w:r>
      <w:r w:rsidRPr="00000000" w:rsidR="00000000" w:rsidDel="00000000">
        <w:rPr>
          <w:rtl w:val="0"/>
        </w:rPr>
        <w:t xml:space="preserve"> - to rule-out major motor disorder (especially with dysphagia), or to evaluate peristaltic function in preparation for antireflux surgery</w:t>
      </w:r>
    </w:p>
    <w:p w:rsidP="00000000" w:rsidRPr="00000000" w:rsidR="00000000" w:rsidDel="00000000" w:rsidRDefault="00000000">
      <w:pPr>
        <w:ind w:left="-719" w:firstLine="0" w:right="-719"/>
        <w:contextualSpacing w:val="0"/>
      </w:pPr>
      <w:r w:rsidRPr="00000000" w:rsidR="00000000" w:rsidDel="00000000">
        <w:rPr>
          <w:b w:val="1"/>
          <w:rtl w:val="0"/>
        </w:rPr>
        <w:t xml:space="preserve">Also consider</w:t>
      </w:r>
      <w:r w:rsidRPr="00000000" w:rsidR="00000000" w:rsidDel="00000000">
        <w:rPr>
          <w:rtl w:val="0"/>
        </w:rPr>
        <w:t xml:space="preserve">: biliary ultrasound, EKG, cardiac stress test, </w:t>
      </w:r>
      <w:r w:rsidRPr="00000000" w:rsidR="00000000" w:rsidDel="00000000">
        <w:rPr>
          <w:i w:val="1"/>
          <w:rtl w:val="0"/>
        </w:rPr>
        <w:t xml:space="preserve">H. pylori </w:t>
      </w:r>
      <w:r w:rsidRPr="00000000" w:rsidR="00000000" w:rsidDel="00000000">
        <w:rPr>
          <w:rtl w:val="0"/>
        </w:rPr>
        <w:t xml:space="preserve">(controversial!)</w:t>
      </w:r>
    </w:p>
    <w:p w:rsidP="00000000" w:rsidRPr="00000000" w:rsidR="00000000" w:rsidDel="00000000" w:rsidRDefault="00000000">
      <w:pPr>
        <w:ind w:left="-719" w:firstLine="0" w:right="-719"/>
        <w:contextualSpacing w:val="0"/>
      </w:pPr>
      <w:r w:rsidRPr="00000000" w:rsidR="00000000" w:rsidDel="00000000">
        <w:rPr>
          <w:rtl w:val="0"/>
        </w:rPr>
        <w:tab/>
      </w:r>
      <w:r w:rsidRPr="00000000" w:rsidR="00000000" w:rsidDel="00000000">
        <w:rPr>
          <w:i w:val="1"/>
          <w:rtl w:val="0"/>
        </w:rPr>
        <w:t xml:space="preserve">H. pylori</w:t>
      </w:r>
      <w:r w:rsidRPr="00000000" w:rsidR="00000000" w:rsidDel="00000000">
        <w:rPr>
          <w:rtl w:val="0"/>
        </w:rPr>
        <w:t xml:space="preserve"> eradication can make GERD </w:t>
      </w:r>
      <w:r w:rsidRPr="00000000" w:rsidR="00000000" w:rsidDel="00000000">
        <w:rPr>
          <w:u w:val="single"/>
          <w:rtl w:val="0"/>
        </w:rPr>
        <w:t xml:space="preserve">worse</w:t>
      </w:r>
      <w:r w:rsidRPr="00000000" w:rsidR="00000000" w:rsidDel="00000000">
        <w:rPr>
          <w:rtl w:val="0"/>
        </w:rPr>
        <w:t xml:space="preserve">, depending which part of the stomach is infected</w:t>
      </w:r>
    </w:p>
    <w:p w:rsidP="00000000" w:rsidRPr="00000000" w:rsidR="00000000" w:rsidDel="00000000" w:rsidRDefault="00000000">
      <w:pPr>
        <w:ind w:left="-719" w:firstLine="0" w:right="-719"/>
        <w:contextualSpacing w:val="0"/>
      </w:pPr>
      <w:r w:rsidRPr="00000000" w:rsidR="00000000" w:rsidDel="00000000">
        <w:rPr>
          <w:rtl w:val="0"/>
        </w:rPr>
        <w:tab/>
      </w:r>
      <w:r w:rsidRPr="00000000" w:rsidR="00000000" w:rsidDel="00000000">
        <w:rPr>
          <w:i w:val="1"/>
          <w:rtl w:val="0"/>
        </w:rPr>
        <w:t xml:space="preserve">H. pylori</w:t>
      </w:r>
      <w:r w:rsidRPr="00000000" w:rsidR="00000000" w:rsidDel="00000000">
        <w:rPr>
          <w:rtl w:val="0"/>
        </w:rPr>
        <w:t xml:space="preserve"> makes pts extra PPI-sensitive, so it can be very hard to wean PPI</w:t>
      </w:r>
    </w:p>
    <w:p w:rsidP="00000000" w:rsidRPr="00000000" w:rsidR="00000000" w:rsidDel="00000000" w:rsidRDefault="00000000">
      <w:pPr>
        <w:ind w:left="-719" w:firstLine="0" w:right="-719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-719" w:firstLine="0" w:right="-719"/>
        <w:contextualSpacing w:val="0"/>
      </w:pPr>
      <w:r w:rsidRPr="00000000" w:rsidR="00000000" w:rsidDel="00000000">
        <w:rPr>
          <w:i w:val="1"/>
          <w:rtl w:val="0"/>
        </w:rPr>
        <w:t xml:space="preserve">Long-term PPI Risks - </w:t>
      </w:r>
      <w:r w:rsidRPr="00000000" w:rsidR="00000000" w:rsidDel="00000000">
        <w:rPr>
          <w:rtl w:val="0"/>
        </w:rPr>
        <w:t xml:space="preserve">pneumonia, </w:t>
      </w:r>
      <w:r w:rsidRPr="00000000" w:rsidR="00000000" w:rsidDel="00000000">
        <w:rPr>
          <w:i w:val="1"/>
          <w:rtl w:val="0"/>
        </w:rPr>
        <w:t xml:space="preserve">C. diff</w:t>
      </w:r>
      <w:r w:rsidRPr="00000000" w:rsidR="00000000" w:rsidDel="00000000">
        <w:rPr>
          <w:rtl w:val="0"/>
        </w:rPr>
        <w:t xml:space="preserve">, osteoporosis, B12 deficiency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GERD.docx</dc:title>
</cp:coreProperties>
</file>